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26EA27" w14:textId="77777777" w:rsidR="005346FB" w:rsidRDefault="005346FB">
      <w:pPr>
        <w:rPr>
          <w:b/>
          <w:sz w:val="28"/>
          <w:szCs w:val="28"/>
        </w:rPr>
      </w:pPr>
      <w:r>
        <w:rPr>
          <w:b/>
          <w:sz w:val="28"/>
          <w:szCs w:val="28"/>
        </w:rPr>
        <w:t>Item 3b: Shadow</w:t>
      </w:r>
      <w:r w:rsidR="00D30400" w:rsidRPr="00A65EB4">
        <w:rPr>
          <w:b/>
          <w:sz w:val="28"/>
          <w:szCs w:val="28"/>
        </w:rPr>
        <w:t xml:space="preserve"> Board</w:t>
      </w:r>
    </w:p>
    <w:p w14:paraId="7528799F" w14:textId="62066393" w:rsidR="005346FB" w:rsidRPr="00A65EB4" w:rsidRDefault="005346FB">
      <w:pPr>
        <w:rPr>
          <w:b/>
          <w:sz w:val="28"/>
          <w:szCs w:val="28"/>
        </w:rPr>
      </w:pPr>
      <w:r>
        <w:rPr>
          <w:b/>
          <w:sz w:val="28"/>
          <w:szCs w:val="28"/>
        </w:rPr>
        <w:t>Date: 8 March 2018</w:t>
      </w:r>
    </w:p>
    <w:p w14:paraId="728521DA" w14:textId="77777777" w:rsidR="00EC5093" w:rsidRPr="00A65EB4" w:rsidRDefault="00D30400">
      <w:pPr>
        <w:rPr>
          <w:rFonts w:ascii="Arial" w:hAnsi="Arial" w:cs="Arial"/>
          <w:sz w:val="24"/>
          <w:szCs w:val="24"/>
        </w:rPr>
      </w:pPr>
      <w:r w:rsidRPr="00A65EB4">
        <w:rPr>
          <w:rFonts w:ascii="Arial" w:hAnsi="Arial" w:cs="Arial"/>
          <w:sz w:val="24"/>
          <w:szCs w:val="24"/>
        </w:rPr>
        <w:t>All decisions made by the Shadow Business Board which require ratification by the Business Board once formally established.</w:t>
      </w:r>
    </w:p>
    <w:tbl>
      <w:tblPr>
        <w:tblStyle w:val="TableGrid"/>
        <w:tblW w:w="0" w:type="auto"/>
        <w:tblLook w:val="04A0" w:firstRow="1" w:lastRow="0" w:firstColumn="1" w:lastColumn="0" w:noHBand="0" w:noVBand="1"/>
      </w:tblPr>
      <w:tblGrid>
        <w:gridCol w:w="1526"/>
        <w:gridCol w:w="1559"/>
        <w:gridCol w:w="2693"/>
        <w:gridCol w:w="8396"/>
      </w:tblGrid>
      <w:tr w:rsidR="00D30400" w:rsidRPr="00A65EB4" w14:paraId="728521E0" w14:textId="77777777" w:rsidTr="00D30400">
        <w:tc>
          <w:tcPr>
            <w:tcW w:w="1526" w:type="dxa"/>
            <w:shd w:val="clear" w:color="auto" w:fill="D9D9D9" w:themeFill="background1" w:themeFillShade="D9"/>
          </w:tcPr>
          <w:p w14:paraId="728521DC" w14:textId="77777777" w:rsidR="00D30400" w:rsidRPr="00A65EB4" w:rsidRDefault="00D30400">
            <w:pPr>
              <w:rPr>
                <w:rFonts w:ascii="Arial" w:hAnsi="Arial" w:cs="Arial"/>
                <w:b/>
                <w:sz w:val="24"/>
                <w:szCs w:val="24"/>
              </w:rPr>
            </w:pPr>
            <w:r w:rsidRPr="00A65EB4">
              <w:rPr>
                <w:rFonts w:ascii="Arial" w:hAnsi="Arial" w:cs="Arial"/>
                <w:b/>
                <w:sz w:val="24"/>
                <w:szCs w:val="24"/>
              </w:rPr>
              <w:t>Date</w:t>
            </w:r>
          </w:p>
        </w:tc>
        <w:tc>
          <w:tcPr>
            <w:tcW w:w="1559" w:type="dxa"/>
            <w:shd w:val="clear" w:color="auto" w:fill="D9D9D9" w:themeFill="background1" w:themeFillShade="D9"/>
          </w:tcPr>
          <w:p w14:paraId="728521DD" w14:textId="77777777" w:rsidR="00D30400" w:rsidRPr="00A65EB4" w:rsidRDefault="00D30400">
            <w:pPr>
              <w:rPr>
                <w:rFonts w:ascii="Arial" w:hAnsi="Arial" w:cs="Arial"/>
                <w:b/>
                <w:sz w:val="24"/>
                <w:szCs w:val="24"/>
              </w:rPr>
            </w:pPr>
            <w:r w:rsidRPr="00A65EB4">
              <w:rPr>
                <w:rFonts w:ascii="Arial" w:hAnsi="Arial" w:cs="Arial"/>
                <w:b/>
                <w:sz w:val="24"/>
                <w:szCs w:val="24"/>
              </w:rPr>
              <w:t>Reference</w:t>
            </w:r>
          </w:p>
        </w:tc>
        <w:tc>
          <w:tcPr>
            <w:tcW w:w="2693" w:type="dxa"/>
            <w:shd w:val="clear" w:color="auto" w:fill="D9D9D9" w:themeFill="background1" w:themeFillShade="D9"/>
          </w:tcPr>
          <w:p w14:paraId="728521DE" w14:textId="77777777" w:rsidR="00D30400" w:rsidRPr="00A65EB4" w:rsidRDefault="00D30400">
            <w:pPr>
              <w:rPr>
                <w:rFonts w:ascii="Arial" w:hAnsi="Arial" w:cs="Arial"/>
                <w:b/>
                <w:sz w:val="24"/>
                <w:szCs w:val="24"/>
              </w:rPr>
            </w:pPr>
            <w:r w:rsidRPr="00A65EB4">
              <w:rPr>
                <w:rFonts w:ascii="Arial" w:hAnsi="Arial" w:cs="Arial"/>
                <w:b/>
                <w:sz w:val="24"/>
                <w:szCs w:val="24"/>
              </w:rPr>
              <w:t>Issue</w:t>
            </w:r>
          </w:p>
        </w:tc>
        <w:tc>
          <w:tcPr>
            <w:tcW w:w="8396" w:type="dxa"/>
            <w:shd w:val="clear" w:color="auto" w:fill="D9D9D9" w:themeFill="background1" w:themeFillShade="D9"/>
          </w:tcPr>
          <w:p w14:paraId="728521DF" w14:textId="77777777" w:rsidR="00D30400" w:rsidRPr="00A65EB4" w:rsidRDefault="00D30400">
            <w:pPr>
              <w:rPr>
                <w:rFonts w:ascii="Arial" w:hAnsi="Arial" w:cs="Arial"/>
                <w:b/>
                <w:sz w:val="24"/>
                <w:szCs w:val="24"/>
              </w:rPr>
            </w:pPr>
            <w:r w:rsidRPr="00A65EB4">
              <w:rPr>
                <w:rFonts w:ascii="Arial" w:hAnsi="Arial" w:cs="Arial"/>
                <w:b/>
                <w:sz w:val="24"/>
                <w:szCs w:val="24"/>
              </w:rPr>
              <w:t>Decision</w:t>
            </w:r>
          </w:p>
        </w:tc>
      </w:tr>
      <w:tr w:rsidR="00D30400" w:rsidRPr="00A65EB4" w14:paraId="728521E6" w14:textId="77777777" w:rsidTr="00D30400">
        <w:tc>
          <w:tcPr>
            <w:tcW w:w="1526" w:type="dxa"/>
          </w:tcPr>
          <w:p w14:paraId="728521E1" w14:textId="77777777" w:rsidR="00D30400" w:rsidRPr="00A65EB4" w:rsidRDefault="00A65EB4" w:rsidP="00A65EB4">
            <w:pPr>
              <w:rPr>
                <w:rFonts w:ascii="Arial" w:hAnsi="Arial" w:cs="Arial"/>
                <w:sz w:val="24"/>
                <w:szCs w:val="24"/>
              </w:rPr>
            </w:pPr>
            <w:r>
              <w:rPr>
                <w:rFonts w:ascii="Arial" w:hAnsi="Arial" w:cs="Arial"/>
                <w:sz w:val="24"/>
                <w:szCs w:val="24"/>
              </w:rPr>
              <w:t>22/02/</w:t>
            </w:r>
            <w:r w:rsidR="00D30400" w:rsidRPr="00A65EB4">
              <w:rPr>
                <w:rFonts w:ascii="Arial" w:hAnsi="Arial" w:cs="Arial"/>
                <w:sz w:val="24"/>
                <w:szCs w:val="24"/>
              </w:rPr>
              <w:t>18</w:t>
            </w:r>
          </w:p>
        </w:tc>
        <w:tc>
          <w:tcPr>
            <w:tcW w:w="1559" w:type="dxa"/>
          </w:tcPr>
          <w:p w14:paraId="728521E2" w14:textId="77777777" w:rsidR="00D30400" w:rsidRPr="00A65EB4" w:rsidRDefault="00D30400" w:rsidP="00D30400">
            <w:pPr>
              <w:pStyle w:val="NormalWeb"/>
              <w:rPr>
                <w:rFonts w:ascii="Arial" w:hAnsi="Arial" w:cs="Arial"/>
              </w:rPr>
            </w:pPr>
            <w:r w:rsidRPr="00A65EB4">
              <w:rPr>
                <w:rFonts w:ascii="Arial" w:hAnsi="Arial" w:cs="Arial"/>
              </w:rPr>
              <w:t>1</w:t>
            </w:r>
          </w:p>
        </w:tc>
        <w:tc>
          <w:tcPr>
            <w:tcW w:w="2693" w:type="dxa"/>
          </w:tcPr>
          <w:p w14:paraId="728521E3" w14:textId="77777777" w:rsidR="00D30400" w:rsidRPr="00A65EB4" w:rsidRDefault="00D30400" w:rsidP="00D30400">
            <w:pPr>
              <w:pStyle w:val="NormalWeb"/>
              <w:rPr>
                <w:rFonts w:ascii="Arial" w:hAnsi="Arial" w:cs="Arial"/>
              </w:rPr>
            </w:pPr>
            <w:r w:rsidRPr="00A65EB4">
              <w:rPr>
                <w:rFonts w:ascii="Arial" w:hAnsi="Arial" w:cs="Arial"/>
              </w:rPr>
              <w:t>Confirmation of Chair</w:t>
            </w:r>
          </w:p>
          <w:p w14:paraId="728521E4" w14:textId="77777777" w:rsidR="00D30400" w:rsidRPr="00A65EB4" w:rsidRDefault="00D30400" w:rsidP="00D30400">
            <w:pPr>
              <w:rPr>
                <w:rFonts w:ascii="Arial" w:hAnsi="Arial" w:cs="Arial"/>
                <w:sz w:val="24"/>
                <w:szCs w:val="24"/>
              </w:rPr>
            </w:pPr>
          </w:p>
        </w:tc>
        <w:tc>
          <w:tcPr>
            <w:tcW w:w="8396" w:type="dxa"/>
          </w:tcPr>
          <w:p w14:paraId="728521E5" w14:textId="77777777" w:rsidR="00D30400" w:rsidRPr="00A65EB4" w:rsidRDefault="00D30400" w:rsidP="00D30400">
            <w:pPr>
              <w:pStyle w:val="NormalWeb"/>
              <w:rPr>
                <w:rFonts w:ascii="Arial" w:hAnsi="Arial" w:cs="Arial"/>
              </w:rPr>
            </w:pPr>
            <w:r w:rsidRPr="00A65EB4">
              <w:rPr>
                <w:rFonts w:ascii="Arial" w:hAnsi="Arial" w:cs="Arial"/>
              </w:rPr>
              <w:t xml:space="preserve">Noted the decision of the Cambridgeshire and Peterborough Combined Authority to appoint Councillor Roberts as chair of the Shadow LEP Board. </w:t>
            </w:r>
          </w:p>
        </w:tc>
      </w:tr>
      <w:tr w:rsidR="00D30400" w:rsidRPr="00A65EB4" w14:paraId="728521ED" w14:textId="77777777" w:rsidTr="00D30400">
        <w:tc>
          <w:tcPr>
            <w:tcW w:w="1526" w:type="dxa"/>
          </w:tcPr>
          <w:p w14:paraId="728521E7" w14:textId="77777777" w:rsidR="00D30400" w:rsidRPr="00A65EB4" w:rsidRDefault="00D30400">
            <w:pPr>
              <w:rPr>
                <w:rFonts w:ascii="Arial" w:hAnsi="Arial" w:cs="Arial"/>
                <w:sz w:val="24"/>
                <w:szCs w:val="24"/>
              </w:rPr>
            </w:pPr>
          </w:p>
        </w:tc>
        <w:tc>
          <w:tcPr>
            <w:tcW w:w="1559" w:type="dxa"/>
          </w:tcPr>
          <w:p w14:paraId="728521E8" w14:textId="77777777" w:rsidR="00D30400" w:rsidRPr="00A65EB4" w:rsidRDefault="00D30400">
            <w:pPr>
              <w:rPr>
                <w:rFonts w:ascii="Arial" w:hAnsi="Arial" w:cs="Arial"/>
                <w:sz w:val="24"/>
                <w:szCs w:val="24"/>
              </w:rPr>
            </w:pPr>
            <w:r w:rsidRPr="00A65EB4">
              <w:rPr>
                <w:rFonts w:ascii="Arial" w:hAnsi="Arial" w:cs="Arial"/>
                <w:sz w:val="24"/>
                <w:szCs w:val="24"/>
              </w:rPr>
              <w:t>2</w:t>
            </w:r>
          </w:p>
        </w:tc>
        <w:tc>
          <w:tcPr>
            <w:tcW w:w="2693" w:type="dxa"/>
          </w:tcPr>
          <w:p w14:paraId="728521E9" w14:textId="77777777" w:rsidR="00D30400" w:rsidRPr="00A65EB4" w:rsidRDefault="00D30400" w:rsidP="00D30400">
            <w:pPr>
              <w:pStyle w:val="NormalWeb"/>
              <w:rPr>
                <w:rFonts w:ascii="Arial" w:hAnsi="Arial" w:cs="Arial"/>
              </w:rPr>
            </w:pPr>
            <w:r w:rsidRPr="00A65EB4">
              <w:rPr>
                <w:rFonts w:ascii="Arial" w:hAnsi="Arial" w:cs="Arial"/>
              </w:rPr>
              <w:t>Terms of Reference</w:t>
            </w:r>
          </w:p>
          <w:p w14:paraId="728521EA" w14:textId="77777777" w:rsidR="00D30400" w:rsidRPr="00A65EB4" w:rsidRDefault="00D30400">
            <w:pPr>
              <w:rPr>
                <w:rFonts w:ascii="Arial" w:hAnsi="Arial" w:cs="Arial"/>
                <w:sz w:val="24"/>
                <w:szCs w:val="24"/>
              </w:rPr>
            </w:pPr>
          </w:p>
        </w:tc>
        <w:tc>
          <w:tcPr>
            <w:tcW w:w="8396" w:type="dxa"/>
          </w:tcPr>
          <w:p w14:paraId="52E13132" w14:textId="77777777" w:rsidR="00D30400" w:rsidRDefault="00D30400" w:rsidP="005346FB">
            <w:pPr>
              <w:pStyle w:val="NormalWeb"/>
              <w:rPr>
                <w:rFonts w:ascii="Arial" w:hAnsi="Arial" w:cs="Arial"/>
              </w:rPr>
            </w:pPr>
            <w:r w:rsidRPr="00A65EB4">
              <w:rPr>
                <w:rFonts w:ascii="Arial" w:hAnsi="Arial" w:cs="Arial"/>
              </w:rPr>
              <w:t xml:space="preserve">Agreed to the terms of reference, subject to amending “The purpose of the Shadow LEP board will be to… prepare for the new LEP to be effective from 1st April” to “The purpose of the Shadow LEP board will be to… prepare for LEP to be formally constituted for 1st April” </w:t>
            </w:r>
          </w:p>
          <w:p w14:paraId="728521EC" w14:textId="6C4CA19F" w:rsidR="005346FB" w:rsidRPr="00A65EB4" w:rsidRDefault="005346FB" w:rsidP="005346FB">
            <w:pPr>
              <w:pStyle w:val="NormalWeb"/>
              <w:rPr>
                <w:rFonts w:ascii="Arial" w:hAnsi="Arial" w:cs="Arial"/>
              </w:rPr>
            </w:pPr>
          </w:p>
        </w:tc>
      </w:tr>
      <w:tr w:rsidR="00D30400" w:rsidRPr="00A65EB4" w14:paraId="728521F8" w14:textId="77777777" w:rsidTr="00D30400">
        <w:tc>
          <w:tcPr>
            <w:tcW w:w="1526" w:type="dxa"/>
          </w:tcPr>
          <w:p w14:paraId="728521EE" w14:textId="77777777" w:rsidR="00D30400" w:rsidRPr="00A65EB4" w:rsidRDefault="00D30400">
            <w:pPr>
              <w:rPr>
                <w:rFonts w:ascii="Arial" w:hAnsi="Arial" w:cs="Arial"/>
                <w:sz w:val="24"/>
                <w:szCs w:val="24"/>
              </w:rPr>
            </w:pPr>
          </w:p>
        </w:tc>
        <w:tc>
          <w:tcPr>
            <w:tcW w:w="1559" w:type="dxa"/>
          </w:tcPr>
          <w:p w14:paraId="728521EF" w14:textId="77777777" w:rsidR="00D30400" w:rsidRPr="00A65EB4" w:rsidRDefault="00D30400">
            <w:pPr>
              <w:rPr>
                <w:rFonts w:ascii="Arial" w:hAnsi="Arial" w:cs="Arial"/>
                <w:sz w:val="24"/>
                <w:szCs w:val="24"/>
              </w:rPr>
            </w:pPr>
            <w:r w:rsidRPr="00A65EB4">
              <w:rPr>
                <w:rFonts w:ascii="Arial" w:hAnsi="Arial" w:cs="Arial"/>
                <w:sz w:val="24"/>
                <w:szCs w:val="24"/>
              </w:rPr>
              <w:t>3</w:t>
            </w:r>
          </w:p>
        </w:tc>
        <w:tc>
          <w:tcPr>
            <w:tcW w:w="2693" w:type="dxa"/>
          </w:tcPr>
          <w:p w14:paraId="728521F0" w14:textId="77777777" w:rsidR="00D30400" w:rsidRPr="00A65EB4" w:rsidRDefault="00D30400" w:rsidP="00D30400">
            <w:pPr>
              <w:pStyle w:val="NormalWeb"/>
              <w:rPr>
                <w:rFonts w:ascii="Arial" w:hAnsi="Arial" w:cs="Arial"/>
              </w:rPr>
            </w:pPr>
            <w:r w:rsidRPr="00A65EB4">
              <w:rPr>
                <w:rFonts w:ascii="Arial" w:hAnsi="Arial" w:cs="Arial"/>
              </w:rPr>
              <w:t>Governance arrangements for the Shadow Board</w:t>
            </w:r>
          </w:p>
          <w:p w14:paraId="728521F1" w14:textId="77777777" w:rsidR="00D30400" w:rsidRPr="00A65EB4" w:rsidRDefault="00D30400">
            <w:pPr>
              <w:rPr>
                <w:rFonts w:ascii="Arial" w:hAnsi="Arial" w:cs="Arial"/>
                <w:sz w:val="24"/>
                <w:szCs w:val="24"/>
              </w:rPr>
            </w:pPr>
          </w:p>
        </w:tc>
        <w:tc>
          <w:tcPr>
            <w:tcW w:w="8396" w:type="dxa"/>
          </w:tcPr>
          <w:p w14:paraId="728521F2" w14:textId="77777777" w:rsidR="00D30400" w:rsidRPr="00A65EB4" w:rsidRDefault="00D30400" w:rsidP="00D30400">
            <w:pPr>
              <w:pStyle w:val="NormalWeb"/>
              <w:rPr>
                <w:rFonts w:ascii="Arial" w:hAnsi="Arial" w:cs="Arial"/>
              </w:rPr>
            </w:pPr>
            <w:r w:rsidRPr="00A65EB4">
              <w:rPr>
                <w:rFonts w:ascii="Arial" w:hAnsi="Arial" w:cs="Arial"/>
              </w:rPr>
              <w:t>Agreed the membership of the Shadow Board as  follows</w:t>
            </w:r>
          </w:p>
          <w:p w14:paraId="728521F3" w14:textId="77777777" w:rsidR="00D30400" w:rsidRPr="00A65EB4" w:rsidRDefault="00D30400" w:rsidP="00D30400">
            <w:pPr>
              <w:pStyle w:val="NormalWeb"/>
              <w:numPr>
                <w:ilvl w:val="0"/>
                <w:numId w:val="1"/>
              </w:numPr>
              <w:rPr>
                <w:rFonts w:ascii="Arial" w:hAnsi="Arial" w:cs="Arial"/>
              </w:rPr>
            </w:pPr>
            <w:r w:rsidRPr="00A65EB4">
              <w:rPr>
                <w:rFonts w:ascii="Arial" w:hAnsi="Arial" w:cs="Arial"/>
              </w:rPr>
              <w:t>Chair</w:t>
            </w:r>
          </w:p>
          <w:p w14:paraId="728521F4" w14:textId="77777777" w:rsidR="00D30400" w:rsidRPr="00A65EB4" w:rsidRDefault="00D30400" w:rsidP="00D30400">
            <w:pPr>
              <w:pStyle w:val="NormalWeb"/>
              <w:numPr>
                <w:ilvl w:val="0"/>
                <w:numId w:val="1"/>
              </w:numPr>
              <w:rPr>
                <w:rFonts w:ascii="Arial" w:hAnsi="Arial" w:cs="Arial"/>
              </w:rPr>
            </w:pPr>
            <w:r w:rsidRPr="00A65EB4">
              <w:rPr>
                <w:rFonts w:ascii="Arial" w:hAnsi="Arial" w:cs="Arial"/>
              </w:rPr>
              <w:t xml:space="preserve">two private sector and </w:t>
            </w:r>
          </w:p>
          <w:p w14:paraId="728521F5" w14:textId="77777777" w:rsidR="00D30400" w:rsidRPr="00A65EB4" w:rsidRDefault="00D30400" w:rsidP="00A65EB4">
            <w:pPr>
              <w:pStyle w:val="NormalWeb"/>
              <w:numPr>
                <w:ilvl w:val="0"/>
                <w:numId w:val="1"/>
              </w:numPr>
              <w:rPr>
                <w:rFonts w:ascii="Arial" w:hAnsi="Arial" w:cs="Arial"/>
              </w:rPr>
            </w:pPr>
            <w:r w:rsidRPr="00A65EB4">
              <w:rPr>
                <w:rFonts w:ascii="Arial" w:hAnsi="Arial" w:cs="Arial"/>
              </w:rPr>
              <w:t xml:space="preserve">two public sector appointments </w:t>
            </w:r>
            <w:r w:rsidR="00A65EB4" w:rsidRPr="00A65EB4">
              <w:rPr>
                <w:rFonts w:ascii="Arial" w:hAnsi="Arial" w:cs="Arial"/>
              </w:rPr>
              <w:t>- one representative should be obtained from a combined authority member, and one representative should come from outside the combined authority area</w:t>
            </w:r>
          </w:p>
          <w:p w14:paraId="582FF809" w14:textId="01E5EB38" w:rsidR="005346FB" w:rsidRPr="00A65EB4" w:rsidRDefault="00D30400" w:rsidP="00D30400">
            <w:pPr>
              <w:pStyle w:val="NormalWeb"/>
              <w:rPr>
                <w:rFonts w:ascii="Arial" w:hAnsi="Arial" w:cs="Arial"/>
              </w:rPr>
            </w:pPr>
            <w:r w:rsidRPr="00A65EB4">
              <w:rPr>
                <w:rFonts w:ascii="Arial" w:hAnsi="Arial" w:cs="Arial"/>
              </w:rPr>
              <w:t>Members of the existing LEP should not be appointed to the Shadow Board, to avoid any conflict between their role on the existing LEP;</w:t>
            </w:r>
          </w:p>
          <w:p w14:paraId="728521F7" w14:textId="77777777" w:rsidR="00D30400" w:rsidRPr="00A65EB4" w:rsidRDefault="00D30400">
            <w:pPr>
              <w:rPr>
                <w:rFonts w:ascii="Arial" w:hAnsi="Arial" w:cs="Arial"/>
                <w:sz w:val="24"/>
                <w:szCs w:val="24"/>
              </w:rPr>
            </w:pPr>
          </w:p>
        </w:tc>
      </w:tr>
      <w:tr w:rsidR="00D30400" w:rsidRPr="00A65EB4" w14:paraId="728521FF" w14:textId="77777777" w:rsidTr="00D30400">
        <w:tc>
          <w:tcPr>
            <w:tcW w:w="1526" w:type="dxa"/>
          </w:tcPr>
          <w:p w14:paraId="728521F9" w14:textId="77777777" w:rsidR="00D30400" w:rsidRPr="00A65EB4" w:rsidRDefault="00D30400">
            <w:pPr>
              <w:rPr>
                <w:rFonts w:ascii="Arial" w:hAnsi="Arial" w:cs="Arial"/>
                <w:sz w:val="24"/>
                <w:szCs w:val="24"/>
              </w:rPr>
            </w:pPr>
          </w:p>
        </w:tc>
        <w:tc>
          <w:tcPr>
            <w:tcW w:w="1559" w:type="dxa"/>
          </w:tcPr>
          <w:p w14:paraId="728521FA" w14:textId="77777777" w:rsidR="00D30400" w:rsidRPr="00A65EB4" w:rsidRDefault="00A65EB4">
            <w:pPr>
              <w:rPr>
                <w:rFonts w:ascii="Arial" w:hAnsi="Arial" w:cs="Arial"/>
                <w:sz w:val="24"/>
                <w:szCs w:val="24"/>
              </w:rPr>
            </w:pPr>
            <w:r w:rsidRPr="00A65EB4">
              <w:rPr>
                <w:rFonts w:ascii="Arial" w:hAnsi="Arial" w:cs="Arial"/>
                <w:sz w:val="24"/>
                <w:szCs w:val="24"/>
              </w:rPr>
              <w:t>6</w:t>
            </w:r>
          </w:p>
        </w:tc>
        <w:tc>
          <w:tcPr>
            <w:tcW w:w="2693" w:type="dxa"/>
          </w:tcPr>
          <w:p w14:paraId="728521FC" w14:textId="3EDFA003" w:rsidR="00D30400" w:rsidRPr="00A65EB4" w:rsidRDefault="00A65EB4" w:rsidP="005346FB">
            <w:pPr>
              <w:pStyle w:val="NormalWeb"/>
              <w:rPr>
                <w:rFonts w:ascii="Arial" w:hAnsi="Arial" w:cs="Arial"/>
              </w:rPr>
            </w:pPr>
            <w:r w:rsidRPr="00A65EB4">
              <w:rPr>
                <w:rFonts w:ascii="Arial" w:hAnsi="Arial" w:cs="Arial"/>
              </w:rPr>
              <w:t>Shared Chief Executive</w:t>
            </w:r>
          </w:p>
        </w:tc>
        <w:tc>
          <w:tcPr>
            <w:tcW w:w="8396" w:type="dxa"/>
          </w:tcPr>
          <w:p w14:paraId="728521FE" w14:textId="1DF7AC98" w:rsidR="005346FB" w:rsidRPr="00A65EB4" w:rsidRDefault="00A65EB4" w:rsidP="005346FB">
            <w:pPr>
              <w:pStyle w:val="NormalWeb"/>
              <w:rPr>
                <w:rFonts w:ascii="Arial" w:hAnsi="Arial" w:cs="Arial"/>
              </w:rPr>
            </w:pPr>
            <w:r w:rsidRPr="00A65EB4">
              <w:rPr>
                <w:rFonts w:ascii="Arial" w:hAnsi="Arial" w:cs="Arial"/>
              </w:rPr>
              <w:t>R</w:t>
            </w:r>
            <w:r w:rsidR="00D360EB">
              <w:rPr>
                <w:rFonts w:ascii="Arial" w:hAnsi="Arial" w:cs="Arial"/>
              </w:rPr>
              <w:t>esolved</w:t>
            </w:r>
            <w:r w:rsidRPr="00A65EB4">
              <w:rPr>
                <w:rFonts w:ascii="Arial" w:hAnsi="Arial" w:cs="Arial"/>
              </w:rPr>
              <w:t xml:space="preserve"> to appoint Martin Whitely as the Interim Chief Executive of the shadow LEP. </w:t>
            </w:r>
            <w:bookmarkStart w:id="0" w:name="_GoBack"/>
            <w:bookmarkEnd w:id="0"/>
          </w:p>
        </w:tc>
      </w:tr>
    </w:tbl>
    <w:p w14:paraId="72852200" w14:textId="77777777" w:rsidR="00D30400" w:rsidRDefault="00D30400" w:rsidP="005346FB"/>
    <w:sectPr w:rsidR="00D30400" w:rsidSect="00D30400">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B5772C"/>
    <w:multiLevelType w:val="hybridMultilevel"/>
    <w:tmpl w:val="398C1AD0"/>
    <w:lvl w:ilvl="0" w:tplc="235A7FD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0400"/>
    <w:rsid w:val="00272401"/>
    <w:rsid w:val="005346FB"/>
    <w:rsid w:val="00A65EB4"/>
    <w:rsid w:val="00D30400"/>
    <w:rsid w:val="00D360EB"/>
    <w:rsid w:val="00EC50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8521D9"/>
  <w15:docId w15:val="{96AD2282-EBF4-482E-9827-63A66D3B2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304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D30400"/>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142249">
      <w:bodyDiv w:val="1"/>
      <w:marLeft w:val="0"/>
      <w:marRight w:val="0"/>
      <w:marTop w:val="0"/>
      <w:marBottom w:val="0"/>
      <w:divBdr>
        <w:top w:val="none" w:sz="0" w:space="0" w:color="auto"/>
        <w:left w:val="none" w:sz="0" w:space="0" w:color="auto"/>
        <w:bottom w:val="none" w:sz="0" w:space="0" w:color="auto"/>
        <w:right w:val="none" w:sz="0" w:space="0" w:color="auto"/>
      </w:divBdr>
    </w:div>
    <w:div w:id="699673170">
      <w:bodyDiv w:val="1"/>
      <w:marLeft w:val="0"/>
      <w:marRight w:val="0"/>
      <w:marTop w:val="0"/>
      <w:marBottom w:val="0"/>
      <w:divBdr>
        <w:top w:val="none" w:sz="0" w:space="0" w:color="auto"/>
        <w:left w:val="none" w:sz="0" w:space="0" w:color="auto"/>
        <w:bottom w:val="none" w:sz="0" w:space="0" w:color="auto"/>
        <w:right w:val="none" w:sz="0" w:space="0" w:color="auto"/>
      </w:divBdr>
    </w:div>
    <w:div w:id="1018197822">
      <w:bodyDiv w:val="1"/>
      <w:marLeft w:val="0"/>
      <w:marRight w:val="0"/>
      <w:marTop w:val="0"/>
      <w:marBottom w:val="0"/>
      <w:divBdr>
        <w:top w:val="none" w:sz="0" w:space="0" w:color="auto"/>
        <w:left w:val="none" w:sz="0" w:space="0" w:color="auto"/>
        <w:bottom w:val="none" w:sz="0" w:space="0" w:color="auto"/>
        <w:right w:val="none" w:sz="0" w:space="0" w:color="auto"/>
      </w:divBdr>
    </w:div>
    <w:div w:id="1283997149">
      <w:bodyDiv w:val="1"/>
      <w:marLeft w:val="0"/>
      <w:marRight w:val="0"/>
      <w:marTop w:val="0"/>
      <w:marBottom w:val="0"/>
      <w:divBdr>
        <w:top w:val="none" w:sz="0" w:space="0" w:color="auto"/>
        <w:left w:val="none" w:sz="0" w:space="0" w:color="auto"/>
        <w:bottom w:val="none" w:sz="0" w:space="0" w:color="auto"/>
        <w:right w:val="none" w:sz="0" w:space="0" w:color="auto"/>
      </w:divBdr>
    </w:div>
    <w:div w:id="1330719765">
      <w:bodyDiv w:val="1"/>
      <w:marLeft w:val="0"/>
      <w:marRight w:val="0"/>
      <w:marTop w:val="0"/>
      <w:marBottom w:val="0"/>
      <w:divBdr>
        <w:top w:val="none" w:sz="0" w:space="0" w:color="auto"/>
        <w:left w:val="none" w:sz="0" w:space="0" w:color="auto"/>
        <w:bottom w:val="none" w:sz="0" w:space="0" w:color="auto"/>
        <w:right w:val="none" w:sz="0" w:space="0" w:color="auto"/>
      </w:divBdr>
    </w:div>
    <w:div w:id="1397433194">
      <w:bodyDiv w:val="1"/>
      <w:marLeft w:val="0"/>
      <w:marRight w:val="0"/>
      <w:marTop w:val="0"/>
      <w:marBottom w:val="0"/>
      <w:divBdr>
        <w:top w:val="none" w:sz="0" w:space="0" w:color="auto"/>
        <w:left w:val="none" w:sz="0" w:space="0" w:color="auto"/>
        <w:bottom w:val="none" w:sz="0" w:space="0" w:color="auto"/>
        <w:right w:val="none" w:sz="0" w:space="0" w:color="auto"/>
      </w:divBdr>
    </w:div>
    <w:div w:id="1473713744">
      <w:bodyDiv w:val="1"/>
      <w:marLeft w:val="0"/>
      <w:marRight w:val="0"/>
      <w:marTop w:val="0"/>
      <w:marBottom w:val="0"/>
      <w:divBdr>
        <w:top w:val="none" w:sz="0" w:space="0" w:color="auto"/>
        <w:left w:val="none" w:sz="0" w:space="0" w:color="auto"/>
        <w:bottom w:val="none" w:sz="0" w:space="0" w:color="auto"/>
        <w:right w:val="none" w:sz="0" w:space="0" w:color="auto"/>
      </w:divBdr>
    </w:div>
    <w:div w:id="1562980428">
      <w:bodyDiv w:val="1"/>
      <w:marLeft w:val="0"/>
      <w:marRight w:val="0"/>
      <w:marTop w:val="0"/>
      <w:marBottom w:val="0"/>
      <w:divBdr>
        <w:top w:val="none" w:sz="0" w:space="0" w:color="auto"/>
        <w:left w:val="none" w:sz="0" w:space="0" w:color="auto"/>
        <w:bottom w:val="none" w:sz="0" w:space="0" w:color="auto"/>
        <w:right w:val="none" w:sz="0" w:space="0" w:color="auto"/>
      </w:divBdr>
    </w:div>
    <w:div w:id="1616910873">
      <w:bodyDiv w:val="1"/>
      <w:marLeft w:val="0"/>
      <w:marRight w:val="0"/>
      <w:marTop w:val="0"/>
      <w:marBottom w:val="0"/>
      <w:divBdr>
        <w:top w:val="none" w:sz="0" w:space="0" w:color="auto"/>
        <w:left w:val="none" w:sz="0" w:space="0" w:color="auto"/>
        <w:bottom w:val="none" w:sz="0" w:space="0" w:color="auto"/>
        <w:right w:val="none" w:sz="0" w:space="0" w:color="auto"/>
      </w:divBdr>
    </w:div>
    <w:div w:id="18956606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0D598AA8F22C74F8B6D2B93491D9F57" ma:contentTypeVersion="8" ma:contentTypeDescription="Create a new document." ma:contentTypeScope="" ma:versionID="2d072b4de37f34aa54cc864f39d52c6c">
  <xsd:schema xmlns:xsd="http://www.w3.org/2001/XMLSchema" xmlns:xs="http://www.w3.org/2001/XMLSchema" xmlns:p="http://schemas.microsoft.com/office/2006/metadata/properties" xmlns:ns2="b81f8890-b772-4976-a4c3-e2b6dc19be5f" xmlns:ns3="74e3dc21-110f-477c-8488-b17d2e0ef34a" targetNamespace="http://schemas.microsoft.com/office/2006/metadata/properties" ma:root="true" ma:fieldsID="e3b1184dbac9035a42fe432cca2da8b4" ns2:_="" ns3:_="">
    <xsd:import namespace="b81f8890-b772-4976-a4c3-e2b6dc19be5f"/>
    <xsd:import namespace="74e3dc21-110f-477c-8488-b17d2e0ef34a"/>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1f8890-b772-4976-a4c3-e2b6dc19be5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e3dc21-110f-477c-8488-b17d2e0ef34a"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EF86AC-ABA0-4AC3-8391-AB75CBF9FFF5}">
  <ds:schemaRefs>
    <ds:schemaRef ds:uri="http://schemas.microsoft.com/office/2006/documentManagement/type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74e3dc21-110f-477c-8488-b17d2e0ef34a"/>
    <ds:schemaRef ds:uri="b81f8890-b772-4976-a4c3-e2b6dc19be5f"/>
    <ds:schemaRef ds:uri="http://www.w3.org/XML/1998/namespace"/>
    <ds:schemaRef ds:uri="http://purl.org/dc/terms/"/>
  </ds:schemaRefs>
</ds:datastoreItem>
</file>

<file path=customXml/itemProps2.xml><?xml version="1.0" encoding="utf-8"?>
<ds:datastoreItem xmlns:ds="http://schemas.openxmlformats.org/officeDocument/2006/customXml" ds:itemID="{DBAD0DCE-95F5-4C25-BBDA-395785DDE05E}">
  <ds:schemaRefs>
    <ds:schemaRef ds:uri="http://schemas.microsoft.com/sharepoint/v3/contenttype/forms"/>
  </ds:schemaRefs>
</ds:datastoreItem>
</file>

<file path=customXml/itemProps3.xml><?xml version="1.0" encoding="utf-8"?>
<ds:datastoreItem xmlns:ds="http://schemas.openxmlformats.org/officeDocument/2006/customXml" ds:itemID="{8E10E400-DB90-4E25-8B0E-94532707B8ED}"/>
</file>

<file path=docProps/app.xml><?xml version="1.0" encoding="utf-8"?>
<Properties xmlns="http://schemas.openxmlformats.org/officeDocument/2006/extended-properties" xmlns:vt="http://schemas.openxmlformats.org/officeDocument/2006/docPropsVTypes">
  <Template>Normal</Template>
  <TotalTime>18</TotalTime>
  <Pages>1</Pages>
  <Words>184</Words>
  <Characters>1049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Debbie</dc:creator>
  <cp:lastModifiedBy>Kim Sawyer</cp:lastModifiedBy>
  <cp:revision>4</cp:revision>
  <dcterms:created xsi:type="dcterms:W3CDTF">2018-03-07T15:32:00Z</dcterms:created>
  <dcterms:modified xsi:type="dcterms:W3CDTF">2018-03-14T15:36:00Z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0x010100C0D598AA8F22C74F8B6D2B93491D9F57</vt:lpwstr>
  </property>
</Properties>
</file>